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94" w:rsidRDefault="00583E27">
      <w:pPr>
        <w:jc w:val="center"/>
        <w:rPr>
          <w:b/>
          <w:color w:val="555555"/>
          <w:sz w:val="28"/>
          <w:szCs w:val="28"/>
          <w:highlight w:val="white"/>
        </w:rPr>
      </w:pPr>
      <w:bookmarkStart w:id="0" w:name="_GoBack"/>
      <w:bookmarkEnd w:id="0"/>
      <w:r>
        <w:rPr>
          <w:b/>
          <w:color w:val="555555"/>
          <w:sz w:val="28"/>
          <w:szCs w:val="28"/>
          <w:highlight w:val="white"/>
        </w:rPr>
        <w:t xml:space="preserve">Progetto formazione in servizio </w:t>
      </w:r>
      <w:proofErr w:type="spellStart"/>
      <w:r>
        <w:rPr>
          <w:b/>
          <w:color w:val="555555"/>
          <w:sz w:val="28"/>
          <w:szCs w:val="28"/>
          <w:highlight w:val="white"/>
        </w:rPr>
        <w:t>a.s.</w:t>
      </w:r>
      <w:proofErr w:type="spellEnd"/>
      <w:r>
        <w:rPr>
          <w:b/>
          <w:color w:val="555555"/>
          <w:sz w:val="28"/>
          <w:szCs w:val="28"/>
          <w:highlight w:val="white"/>
        </w:rPr>
        <w:t xml:space="preserve"> 2021-22-Ambito 1</w:t>
      </w:r>
    </w:p>
    <w:p w:rsidR="00524394" w:rsidRDefault="00583E27">
      <w:pPr>
        <w:jc w:val="center"/>
        <w:rPr>
          <w:b/>
          <w:color w:val="555555"/>
          <w:sz w:val="28"/>
          <w:szCs w:val="28"/>
          <w:highlight w:val="white"/>
        </w:rPr>
      </w:pPr>
      <w:r>
        <w:rPr>
          <w:b/>
          <w:color w:val="555555"/>
          <w:sz w:val="28"/>
          <w:szCs w:val="28"/>
          <w:highlight w:val="white"/>
        </w:rPr>
        <w:t>Premessa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 xml:space="preserve">Il Piano di Formazione progettato, nella certezza che la formazione in servizio sia elemento di sviluppo educativo, punta a realizzare un’azione educativa che si inserisca nel Piano Nazionale “Rigenerazione Scuola”, il Piano per la transizione ecologica e </w:t>
      </w:r>
      <w:r>
        <w:rPr>
          <w:color w:val="555555"/>
          <w:sz w:val="28"/>
          <w:szCs w:val="28"/>
          <w:highlight w:val="white"/>
        </w:rPr>
        <w:t xml:space="preserve">culturale delle scuole, teso a rigenerare i </w:t>
      </w:r>
      <w:proofErr w:type="spellStart"/>
      <w:r>
        <w:rPr>
          <w:color w:val="555555"/>
          <w:sz w:val="28"/>
          <w:szCs w:val="28"/>
          <w:highlight w:val="white"/>
        </w:rPr>
        <w:t>saperi</w:t>
      </w:r>
      <w:proofErr w:type="spellEnd"/>
      <w:r>
        <w:rPr>
          <w:color w:val="555555"/>
          <w:sz w:val="28"/>
          <w:szCs w:val="28"/>
          <w:highlight w:val="white"/>
        </w:rPr>
        <w:t xml:space="preserve"> e i comportamenti, favorendo la riflessione in merito a modelli culturali e comportamentali che promuovano una mentalità </w:t>
      </w:r>
      <w:proofErr w:type="spellStart"/>
      <w:r>
        <w:rPr>
          <w:color w:val="555555"/>
          <w:sz w:val="28"/>
          <w:szCs w:val="28"/>
          <w:highlight w:val="white"/>
        </w:rPr>
        <w:t>ecosistemica</w:t>
      </w:r>
      <w:proofErr w:type="spellEnd"/>
      <w:r>
        <w:rPr>
          <w:color w:val="555555"/>
          <w:sz w:val="28"/>
          <w:szCs w:val="28"/>
          <w:highlight w:val="white"/>
        </w:rPr>
        <w:t>.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 xml:space="preserve"> L’intreccio tra crisi climatica, ambientale, sociale e pandemica rend</w:t>
      </w:r>
      <w:r>
        <w:rPr>
          <w:color w:val="555555"/>
          <w:sz w:val="28"/>
          <w:szCs w:val="28"/>
          <w:highlight w:val="white"/>
        </w:rPr>
        <w:t xml:space="preserve">e necessaria una maggiore consapevolezza e una continua revisione degli schemi concettuali che coinvolga i diversi </w:t>
      </w:r>
      <w:proofErr w:type="spellStart"/>
      <w:r>
        <w:rPr>
          <w:color w:val="555555"/>
          <w:sz w:val="28"/>
          <w:szCs w:val="28"/>
          <w:highlight w:val="white"/>
        </w:rPr>
        <w:t>saperi</w:t>
      </w:r>
      <w:proofErr w:type="spellEnd"/>
      <w:r>
        <w:rPr>
          <w:color w:val="555555"/>
          <w:sz w:val="28"/>
          <w:szCs w:val="28"/>
          <w:highlight w:val="white"/>
        </w:rPr>
        <w:t xml:space="preserve"> da quelli umanistici a quelli scientifici. E’ opportuno essere consapevoli che non è possibile una transizione ecologica senza un camb</w:t>
      </w:r>
      <w:r>
        <w:rPr>
          <w:color w:val="555555"/>
          <w:sz w:val="28"/>
          <w:szCs w:val="28"/>
          <w:highlight w:val="white"/>
        </w:rPr>
        <w:t>io culturale soprattutto alla luce delle lezioni impartite dalla pandemia.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 xml:space="preserve">Il filosofo ebreo tedesco </w:t>
      </w:r>
      <w:proofErr w:type="spellStart"/>
      <w:r>
        <w:rPr>
          <w:color w:val="555555"/>
          <w:sz w:val="28"/>
          <w:szCs w:val="28"/>
          <w:highlight w:val="white"/>
        </w:rPr>
        <w:t>Gunther</w:t>
      </w:r>
      <w:proofErr w:type="spellEnd"/>
      <w:r>
        <w:rPr>
          <w:color w:val="555555"/>
          <w:sz w:val="28"/>
          <w:szCs w:val="28"/>
          <w:highlight w:val="white"/>
        </w:rPr>
        <w:t xml:space="preserve"> </w:t>
      </w:r>
      <w:proofErr w:type="spellStart"/>
      <w:r>
        <w:rPr>
          <w:color w:val="555555"/>
          <w:sz w:val="28"/>
          <w:szCs w:val="28"/>
          <w:highlight w:val="white"/>
        </w:rPr>
        <w:t>Anders</w:t>
      </w:r>
      <w:proofErr w:type="spellEnd"/>
      <w:r>
        <w:rPr>
          <w:color w:val="555555"/>
          <w:sz w:val="28"/>
          <w:szCs w:val="28"/>
          <w:highlight w:val="white"/>
        </w:rPr>
        <w:t xml:space="preserve"> scriveva nel 1989 scriveva: “Oggi, a parte due o tre “acrobati del tempo”, non c’è nessuno che sia capace di mettersi nei panni di chi sarà </w:t>
      </w:r>
      <w:r>
        <w:rPr>
          <w:color w:val="555555"/>
          <w:sz w:val="28"/>
          <w:szCs w:val="28"/>
          <w:highlight w:val="white"/>
        </w:rPr>
        <w:t xml:space="preserve">domani (per non parlare di chi domani non ci sarà più), e di anticipare il loro sguardo verso il passato (e quindi anche verso il nostro oggi)”. Tale affermazione viene citata da Carla Benedetti nel suo saggio  </w:t>
      </w:r>
      <w:r>
        <w:rPr>
          <w:color w:val="555555"/>
          <w:sz w:val="28"/>
          <w:szCs w:val="28"/>
          <w:highlight w:val="white"/>
          <w:u w:val="single"/>
        </w:rPr>
        <w:t>La letteratura ci salverà dall’estinzione</w:t>
      </w:r>
      <w:r>
        <w:rPr>
          <w:color w:val="555555"/>
          <w:sz w:val="28"/>
          <w:szCs w:val="28"/>
          <w:highlight w:val="white"/>
        </w:rPr>
        <w:t xml:space="preserve"> per</w:t>
      </w:r>
      <w:r>
        <w:rPr>
          <w:color w:val="555555"/>
          <w:sz w:val="28"/>
          <w:szCs w:val="28"/>
          <w:highlight w:val="white"/>
        </w:rPr>
        <w:t xml:space="preserve"> sottolineare come “gli uomini di oggi non sono in grado di mettersi nei panni di chi si troverà, in un futuro assai prossimo, a vivere su un pianeta dal clima sconvolto…e forse anche avvelenato dalle armi chimiche o nucleari”. Proprio per questo occorre r</w:t>
      </w:r>
      <w:r>
        <w:rPr>
          <w:color w:val="555555"/>
          <w:sz w:val="28"/>
          <w:szCs w:val="28"/>
          <w:highlight w:val="white"/>
        </w:rPr>
        <w:t>ivedere le visioni della complessità del mondo.</w:t>
      </w:r>
    </w:p>
    <w:p w:rsidR="00524394" w:rsidRDefault="00583E27">
      <w:pPr>
        <w:jc w:val="center"/>
        <w:rPr>
          <w:b/>
          <w:color w:val="555555"/>
          <w:sz w:val="28"/>
          <w:szCs w:val="28"/>
          <w:highlight w:val="white"/>
        </w:rPr>
      </w:pPr>
      <w:r>
        <w:rPr>
          <w:b/>
          <w:color w:val="555555"/>
          <w:sz w:val="28"/>
          <w:szCs w:val="28"/>
          <w:highlight w:val="white"/>
        </w:rPr>
        <w:t>Finalità</w:t>
      </w:r>
    </w:p>
    <w:p w:rsidR="00524394" w:rsidRDefault="00583E27">
      <w:pPr>
        <w:shd w:val="clear" w:color="auto" w:fill="FFFFFF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I percorsi formativi proposti sono finalizzati:</w:t>
      </w:r>
    </w:p>
    <w:p w:rsidR="00524394" w:rsidRDefault="00583E27">
      <w:pPr>
        <w:shd w:val="clear" w:color="auto" w:fill="FFFFFF"/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 xml:space="preserve">-a potenziare le competenze STEM (acronimo inglese di scienza, tecnologia, ingegneria e matematica) che sono chiamate in causa per affrontare le sfide </w:t>
      </w:r>
      <w:r>
        <w:rPr>
          <w:color w:val="333333"/>
          <w:sz w:val="28"/>
          <w:szCs w:val="28"/>
          <w:shd w:val="clear" w:color="auto" w:fill="F9F9F9"/>
        </w:rPr>
        <w:t>del futuro, come la transizione ecologica, sentendo l’urgenza di un </w:t>
      </w:r>
      <w:r>
        <w:rPr>
          <w:color w:val="333333"/>
          <w:sz w:val="28"/>
          <w:szCs w:val="28"/>
          <w:shd w:val="clear" w:color="auto" w:fill="F9F9F9"/>
        </w:rPr>
        <w:t>nuovo approccio a queste discipline</w:t>
      </w:r>
      <w:r>
        <w:rPr>
          <w:color w:val="333333"/>
          <w:sz w:val="28"/>
          <w:szCs w:val="28"/>
          <w:shd w:val="clear" w:color="auto" w:fill="F9F9F9"/>
        </w:rPr>
        <w:t xml:space="preserve"> che </w:t>
      </w:r>
      <w:r>
        <w:rPr>
          <w:color w:val="333333"/>
          <w:sz w:val="28"/>
          <w:szCs w:val="28"/>
          <w:shd w:val="clear" w:color="auto" w:fill="F9F9F9"/>
        </w:rPr>
        <w:t>valorizzi il contributo offerto dalle materie scientifiche</w:t>
      </w:r>
      <w:r>
        <w:rPr>
          <w:color w:val="333333"/>
          <w:sz w:val="28"/>
          <w:szCs w:val="28"/>
          <w:shd w:val="clear" w:color="auto" w:fill="F9F9F9"/>
        </w:rPr>
        <w:t> nel riuscire a leggere e comprendere il funzionamento del mondo in cui viviamo e che sono</w:t>
      </w:r>
      <w:r>
        <w:rPr>
          <w:color w:val="333333"/>
          <w:sz w:val="28"/>
          <w:szCs w:val="28"/>
          <w:shd w:val="clear" w:color="auto" w:fill="F9F9F9"/>
        </w:rPr>
        <w:t xml:space="preserve"> utili nella gestione delle questioni ambientali(economia circolare, green </w:t>
      </w:r>
      <w:proofErr w:type="spellStart"/>
      <w:r>
        <w:rPr>
          <w:color w:val="333333"/>
          <w:sz w:val="28"/>
          <w:szCs w:val="28"/>
          <w:shd w:val="clear" w:color="auto" w:fill="F9F9F9"/>
        </w:rPr>
        <w:t>jobs</w:t>
      </w:r>
      <w:proofErr w:type="spellEnd"/>
      <w:r>
        <w:rPr>
          <w:color w:val="333333"/>
          <w:sz w:val="28"/>
          <w:szCs w:val="28"/>
          <w:shd w:val="clear" w:color="auto" w:fill="F9F9F9"/>
        </w:rPr>
        <w:t>…);</w:t>
      </w:r>
    </w:p>
    <w:p w:rsidR="00524394" w:rsidRDefault="00583E27">
      <w:pPr>
        <w:rPr>
          <w:color w:val="333333"/>
          <w:sz w:val="28"/>
          <w:szCs w:val="28"/>
          <w:shd w:val="clear" w:color="auto" w:fill="F9F9F9"/>
        </w:rPr>
      </w:pPr>
      <w:r>
        <w:rPr>
          <w:color w:val="333333"/>
          <w:sz w:val="28"/>
          <w:szCs w:val="28"/>
          <w:shd w:val="clear" w:color="auto" w:fill="F9F9F9"/>
        </w:rPr>
        <w:t>-ad interventi strategici per la realizzazione di un sistema integrato  0-6,</w:t>
      </w:r>
      <w:r>
        <w:rPr>
          <w:rFonts w:ascii="Georgia" w:eastAsia="Georgia" w:hAnsi="Georgia" w:cs="Georgia"/>
          <w:color w:val="32465C"/>
          <w:sz w:val="28"/>
          <w:szCs w:val="28"/>
          <w:highlight w:val="white"/>
        </w:rPr>
        <w:t xml:space="preserve"> </w:t>
      </w:r>
      <w:r>
        <w:rPr>
          <w:color w:val="32465C"/>
          <w:sz w:val="28"/>
          <w:szCs w:val="28"/>
          <w:highlight w:val="white"/>
        </w:rPr>
        <w:t>unendo agli approfondimenti dei contenuti di "linee pedagogiche e orientamenti educativi", anche</w:t>
      </w:r>
      <w:r>
        <w:rPr>
          <w:color w:val="32465C"/>
          <w:sz w:val="28"/>
          <w:szCs w:val="28"/>
          <w:highlight w:val="white"/>
        </w:rPr>
        <w:t xml:space="preserve"> moduli formativi dedicati a temi trasversali;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333333"/>
          <w:sz w:val="28"/>
          <w:szCs w:val="28"/>
          <w:shd w:val="clear" w:color="auto" w:fill="F9F9F9"/>
        </w:rPr>
        <w:lastRenderedPageBreak/>
        <w:t>-ad azioni connesse all’implementazione delle azioni previste dal Piano Nazionale “Rigenerazione Scuola”;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essendo consapevoli dello stato di urgenza planetaria determinato dal dramma ecologico è necessario sul</w:t>
      </w:r>
      <w:r>
        <w:rPr>
          <w:color w:val="555555"/>
          <w:sz w:val="28"/>
          <w:szCs w:val="28"/>
          <w:highlight w:val="white"/>
        </w:rPr>
        <w:t xml:space="preserve"> </w:t>
      </w:r>
      <w:r>
        <w:rPr>
          <w:color w:val="555555"/>
          <w:sz w:val="28"/>
          <w:szCs w:val="28"/>
          <w:highlight w:val="white"/>
          <w:u w:val="single"/>
        </w:rPr>
        <w:t>piano ambientale</w:t>
      </w:r>
      <w:r>
        <w:rPr>
          <w:color w:val="555555"/>
          <w:sz w:val="28"/>
          <w:szCs w:val="28"/>
          <w:highlight w:val="white"/>
        </w:rPr>
        <w:t xml:space="preserve"> minimizzare l’impatto dell’azione dell’uomo sulla natura e sul </w:t>
      </w:r>
      <w:r>
        <w:rPr>
          <w:color w:val="555555"/>
          <w:sz w:val="28"/>
          <w:szCs w:val="28"/>
          <w:highlight w:val="white"/>
          <w:u w:val="single"/>
        </w:rPr>
        <w:t>piano sociale</w:t>
      </w:r>
      <w:r>
        <w:rPr>
          <w:color w:val="555555"/>
          <w:sz w:val="28"/>
          <w:szCs w:val="28"/>
          <w:highlight w:val="white"/>
        </w:rPr>
        <w:t xml:space="preserve"> recuperare le interazioni superando una visione antropocentrica.</w:t>
      </w:r>
    </w:p>
    <w:p w:rsidR="00524394" w:rsidRDefault="00583E27">
      <w:pPr>
        <w:jc w:val="center"/>
        <w:rPr>
          <w:b/>
          <w:color w:val="555555"/>
          <w:sz w:val="28"/>
          <w:szCs w:val="28"/>
          <w:highlight w:val="white"/>
        </w:rPr>
      </w:pPr>
      <w:r>
        <w:rPr>
          <w:b/>
          <w:color w:val="555555"/>
          <w:sz w:val="28"/>
          <w:szCs w:val="28"/>
          <w:highlight w:val="white"/>
        </w:rPr>
        <w:t>Obiettivi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Il Piano terrà conto dei seguenti obiettivi: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Obiettivi trasversali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promuovere l’acquisizione di specifiche competenze ed il potenziamento delle capacità professionali dei docenti ;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indurre i docenti coinvolti all’attenzione dei mutamenti in atto del settore della STEM promuovendo la cultura della formazione permanente e c</w:t>
      </w:r>
      <w:r>
        <w:rPr>
          <w:color w:val="000000"/>
          <w:sz w:val="28"/>
          <w:szCs w:val="28"/>
        </w:rPr>
        <w:t>ontinua e supportandoli nell’apprendimento tramite percorsi di self-</w:t>
      </w:r>
      <w:proofErr w:type="spellStart"/>
      <w:r>
        <w:rPr>
          <w:color w:val="000000"/>
          <w:sz w:val="28"/>
          <w:szCs w:val="28"/>
        </w:rPr>
        <w:t>empowerment</w:t>
      </w:r>
      <w:proofErr w:type="spellEnd"/>
      <w:r>
        <w:rPr>
          <w:color w:val="000000"/>
          <w:sz w:val="28"/>
          <w:szCs w:val="28"/>
        </w:rPr>
        <w:t>, sia contenutistico che metodologico, che permetta loro di affrontare la crescente diversità dei discenti e le innovazioni pedagogiche;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incentivare la permeabilità tra i diver</w:t>
      </w:r>
      <w:r>
        <w:rPr>
          <w:color w:val="000000"/>
          <w:sz w:val="28"/>
          <w:szCs w:val="28"/>
        </w:rPr>
        <w:t>si settori dell’educazione e della formazione;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affrontare la gestione di questioni ambientali;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migliorare la qualità, l'innovazione dell’educazione scolastica e della formazione</w:t>
      </w:r>
      <w:r>
        <w:rPr>
          <w:rFonts w:ascii="Quattrocento Sans" w:eastAsia="Quattrocento Sans" w:hAnsi="Quattrocento Sans" w:cs="Quattrocento Sans"/>
          <w:color w:val="222222"/>
          <w:sz w:val="28"/>
          <w:szCs w:val="28"/>
          <w:highlight w:val="white"/>
        </w:rPr>
        <w:t xml:space="preserve"> </w:t>
      </w:r>
      <w:r>
        <w:rPr>
          <w:color w:val="222222"/>
          <w:sz w:val="28"/>
          <w:szCs w:val="28"/>
          <w:highlight w:val="white"/>
        </w:rPr>
        <w:t>attraverso metodologie e risorse innovative.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Aggiornare i docenti sulle metodologie didattiche per l’insegnamento della matematica, considerando la didattica laboratoriale come strumento imprescindibile per promuovere competenze e favorire apprendimenti significativi e stabili.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Rielaborare criticamen</w:t>
      </w:r>
      <w:r>
        <w:rPr>
          <w:color w:val="000000"/>
          <w:sz w:val="28"/>
          <w:szCs w:val="28"/>
        </w:rPr>
        <w:t xml:space="preserve">te le proprie teorie e pratiche didattiche in rapporto ad alcuni snodi chiave; 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Promuovere una cultura e una pratica didattica comuni a livello di Istituto nella prospettiva delle nuove Indicazioni per il curricolo; 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Accostarsi operativamente alla prospett</w:t>
      </w:r>
      <w:r>
        <w:rPr>
          <w:color w:val="000000"/>
          <w:sz w:val="28"/>
          <w:szCs w:val="28"/>
        </w:rPr>
        <w:t xml:space="preserve">iva della didattica per competenze; </w:t>
      </w:r>
    </w:p>
    <w:p w:rsidR="00524394" w:rsidRDefault="00583E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Accostarsi operativamente alla prospettiva della valutazione per competenze e della valutazione autentica;</w:t>
      </w:r>
    </w:p>
    <w:p w:rsidR="00524394" w:rsidRDefault="0052439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555555"/>
          <w:sz w:val="28"/>
          <w:szCs w:val="28"/>
          <w:highlight w:val="white"/>
        </w:rPr>
      </w:pPr>
    </w:p>
    <w:p w:rsidR="00524394" w:rsidRDefault="00524394">
      <w:pPr>
        <w:ind w:left="360"/>
        <w:rPr>
          <w:color w:val="555555"/>
          <w:sz w:val="28"/>
          <w:szCs w:val="28"/>
          <w:highlight w:val="white"/>
        </w:rPr>
      </w:pPr>
    </w:p>
    <w:p w:rsidR="00524394" w:rsidRDefault="00524394">
      <w:pPr>
        <w:ind w:left="360"/>
        <w:rPr>
          <w:color w:val="555555"/>
          <w:sz w:val="28"/>
          <w:szCs w:val="28"/>
          <w:highlight w:val="white"/>
        </w:rPr>
      </w:pPr>
    </w:p>
    <w:p w:rsidR="00524394" w:rsidRDefault="00583E27">
      <w:pPr>
        <w:ind w:left="360"/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lastRenderedPageBreak/>
        <w:t>Obiettivi sociali:</w:t>
      </w:r>
    </w:p>
    <w:p w:rsidR="00524394" w:rsidRDefault="00583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Recuperare la socialità</w:t>
      </w:r>
    </w:p>
    <w:p w:rsidR="00524394" w:rsidRDefault="00583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superare il pensiero antropocentrico</w:t>
      </w:r>
    </w:p>
    <w:p w:rsidR="00524394" w:rsidRDefault="00583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555555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Maturare la consapevolezza del legame fra solidarietà ed ecologia</w:t>
      </w:r>
    </w:p>
    <w:p w:rsidR="00524394" w:rsidRDefault="00583E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abbandonare la cultura dello scarto a vantaggio della cultura circolare</w:t>
      </w:r>
    </w:p>
    <w:p w:rsidR="00524394" w:rsidRDefault="00583E27">
      <w:pPr>
        <w:rPr>
          <w:color w:val="555555"/>
          <w:sz w:val="28"/>
          <w:szCs w:val="28"/>
          <w:highlight w:val="white"/>
        </w:rPr>
      </w:pPr>
      <w:r>
        <w:rPr>
          <w:color w:val="555555"/>
          <w:sz w:val="28"/>
          <w:szCs w:val="28"/>
          <w:highlight w:val="white"/>
        </w:rPr>
        <w:t>Obiettivi ambientali:</w:t>
      </w:r>
    </w:p>
    <w:p w:rsidR="00524394" w:rsidRDefault="00583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maturare la consapevolezza del legame tra le persone e la Casa comune</w:t>
      </w:r>
    </w:p>
    <w:p w:rsidR="00524394" w:rsidRDefault="00583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maturare la consapevolezza dei diritti ecologici di tutti gli esseri viventi</w:t>
      </w:r>
    </w:p>
    <w:p w:rsidR="00524394" w:rsidRDefault="00583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diventare consapevoli che i problemi ambientali vanno affrontati in modo sistemico</w:t>
      </w:r>
    </w:p>
    <w:p w:rsidR="00524394" w:rsidRDefault="00583E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Imparare a minimizzare gli impatti dell’azione dell’uomo sulla natura</w:t>
      </w:r>
    </w:p>
    <w:p w:rsidR="00524394" w:rsidRDefault="00524394">
      <w:pPr>
        <w:jc w:val="center"/>
        <w:rPr>
          <w:b/>
          <w:sz w:val="28"/>
          <w:szCs w:val="28"/>
        </w:rPr>
      </w:pPr>
    </w:p>
    <w:p w:rsidR="00524394" w:rsidRDefault="00583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Metodologia</w:t>
      </w:r>
    </w:p>
    <w:p w:rsidR="00524394" w:rsidRDefault="00583E27">
      <w:pPr>
        <w:rPr>
          <w:sz w:val="28"/>
          <w:szCs w:val="28"/>
        </w:rPr>
      </w:pPr>
      <w:r>
        <w:rPr>
          <w:sz w:val="28"/>
          <w:szCs w:val="28"/>
        </w:rPr>
        <w:t>L’idea chiave è che la modalità più efficace per promuovere lo sviluppo professionale all’interno di un gruppo docente muova dalla rielaborazione critica delle proprie pratiche professionali e dalla costruzione di un lessico e di una prospettiva strategica</w:t>
      </w:r>
      <w:r>
        <w:rPr>
          <w:sz w:val="28"/>
          <w:szCs w:val="28"/>
        </w:rPr>
        <w:t xml:space="preserve"> comune. A tale scopo sono previsti momenti informativi e momenti di lavoro di gruppo, finalizzati all’analisi critica delle esperienze professionali personali e a all’elaborazione di proposte e strumenti operativi comuni.</w:t>
      </w:r>
    </w:p>
    <w:p w:rsidR="00524394" w:rsidRDefault="00583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Risultati attesi</w:t>
      </w:r>
    </w:p>
    <w:p w:rsidR="00524394" w:rsidRDefault="00583E27">
      <w:r>
        <w:rPr>
          <w:sz w:val="28"/>
          <w:szCs w:val="28"/>
        </w:rPr>
        <w:t>Le varie attivit</w:t>
      </w:r>
      <w:r>
        <w:rPr>
          <w:sz w:val="28"/>
          <w:szCs w:val="28"/>
        </w:rPr>
        <w:t xml:space="preserve">à formative intendono avviare una riflessione critica su modelli culturali e comportamentali che promuovano una mentalità </w:t>
      </w:r>
      <w:proofErr w:type="spellStart"/>
      <w:r>
        <w:rPr>
          <w:sz w:val="28"/>
          <w:szCs w:val="28"/>
        </w:rPr>
        <w:t>ecosistemica</w:t>
      </w:r>
      <w:proofErr w:type="spellEnd"/>
      <w:r>
        <w:rPr>
          <w:sz w:val="28"/>
          <w:szCs w:val="28"/>
        </w:rPr>
        <w:t>, sviluppando una visione olistica del sapere e sviluppare un’analisi pedagogico-didattica sulla progettazione e sulla val</w:t>
      </w:r>
      <w:r>
        <w:rPr>
          <w:sz w:val="28"/>
          <w:szCs w:val="28"/>
        </w:rPr>
        <w:t>utazione per competenze. Ogni corso mirerà al confronto tra docenti di ogni ordine e grado di scuola nella prospettiva delle nuove Indicazioni per il curricolo.</w:t>
      </w:r>
      <w:r>
        <w:t xml:space="preserve"> </w:t>
      </w:r>
    </w:p>
    <w:p w:rsidR="00524394" w:rsidRDefault="00524394">
      <w:pPr>
        <w:rPr>
          <w:sz w:val="28"/>
          <w:szCs w:val="28"/>
        </w:rPr>
      </w:pPr>
    </w:p>
    <w:p w:rsidR="00524394" w:rsidRDefault="00583E27">
      <w:pPr>
        <w:jc w:val="center"/>
        <w:rPr>
          <w:sz w:val="28"/>
          <w:szCs w:val="28"/>
        </w:rPr>
      </w:pPr>
      <w:r>
        <w:rPr>
          <w:sz w:val="28"/>
          <w:szCs w:val="28"/>
        </w:rPr>
        <w:t>Struttura  moduli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7"/>
        <w:gridCol w:w="2851"/>
        <w:gridCol w:w="3587"/>
        <w:gridCol w:w="943"/>
      </w:tblGrid>
      <w:tr w:rsidR="00524394">
        <w:tc>
          <w:tcPr>
            <w:tcW w:w="2247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</w:t>
            </w:r>
          </w:p>
        </w:tc>
        <w:tc>
          <w:tcPr>
            <w:tcW w:w="2851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3587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Attività</w:t>
            </w:r>
          </w:p>
        </w:tc>
        <w:tc>
          <w:tcPr>
            <w:tcW w:w="943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</w:t>
            </w:r>
          </w:p>
        </w:tc>
      </w:tr>
      <w:tr w:rsidR="00524394">
        <w:tc>
          <w:tcPr>
            <w:tcW w:w="2247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STEM come sfida al “Tallone di Achille”</w:t>
            </w:r>
          </w:p>
        </w:tc>
        <w:tc>
          <w:tcPr>
            <w:tcW w:w="2851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Malaspina Francesco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 </w:t>
            </w:r>
            <w:proofErr w:type="spellStart"/>
            <w:r>
              <w:rPr>
                <w:b/>
                <w:sz w:val="28"/>
                <w:szCs w:val="28"/>
              </w:rPr>
              <w:t>Carimali</w:t>
            </w:r>
            <w:proofErr w:type="spellEnd"/>
            <w:r>
              <w:rPr>
                <w:b/>
                <w:sz w:val="28"/>
                <w:szCs w:val="28"/>
              </w:rPr>
              <w:t xml:space="preserve"> Lorella 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Ricercatore Patitucci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b/>
                <w:sz w:val="28"/>
                <w:szCs w:val="28"/>
              </w:rPr>
              <w:t xml:space="preserve">Intervento conclusivo Prof. Massimo </w:t>
            </w:r>
            <w:proofErr w:type="spellStart"/>
            <w:r>
              <w:rPr>
                <w:b/>
                <w:sz w:val="28"/>
                <w:szCs w:val="28"/>
              </w:rPr>
              <w:t>Iiritano</w:t>
            </w:r>
            <w:proofErr w:type="spellEnd"/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524394" w:rsidRDefault="00583E27">
            <w:pPr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color w:val="222222"/>
                <w:sz w:val="28"/>
                <w:szCs w:val="28"/>
                <w:highlight w:val="white"/>
              </w:rPr>
              <w:lastRenderedPageBreak/>
              <w:t>Percorso didattico interdisciplinare tra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>matematica, arte, poesia e altri settori del sapere tratto</w:t>
            </w:r>
            <w:r>
              <w:rPr>
                <w:color w:val="222222"/>
                <w:sz w:val="24"/>
                <w:szCs w:val="24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lastRenderedPageBreak/>
              <w:t>dal libro “sette semplici lezioni di matematica”. Lo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>faremo attraverso metafore d’amore e morte, suggestioni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>calcistiche e meringhe sbriciolate tra insiemi infiniti,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 xml:space="preserve">strutture algebriche, vettori, </w:t>
            </w:r>
            <w:r>
              <w:rPr>
                <w:color w:val="222222"/>
                <w:sz w:val="28"/>
                <w:szCs w:val="28"/>
                <w:highlight w:val="white"/>
              </w:rPr>
              <w:t>infinitesimi, funzioni,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>curve frattali, spazi geometrici e loro svariate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  <w:highlight w:val="white"/>
              </w:rPr>
              <w:t>applicazioni.</w:t>
            </w:r>
          </w:p>
          <w:p w:rsidR="00524394" w:rsidRDefault="00524394">
            <w:pPr>
              <w:rPr>
                <w:color w:val="222222"/>
                <w:sz w:val="28"/>
                <w:szCs w:val="28"/>
                <w:highlight w:val="white"/>
              </w:rPr>
            </w:pPr>
          </w:p>
          <w:p w:rsidR="00524394" w:rsidRDefault="00583E27">
            <w:pPr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color w:val="222222"/>
                <w:sz w:val="28"/>
                <w:szCs w:val="28"/>
              </w:rPr>
              <w:t xml:space="preserve">Analisi dei </w:t>
            </w:r>
            <w:proofErr w:type="spellStart"/>
            <w:r>
              <w:rPr>
                <w:color w:val="222222"/>
                <w:sz w:val="28"/>
                <w:szCs w:val="28"/>
              </w:rPr>
              <w:t>bias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cognitivi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Riflessione epistemologica e approccio umanistico alle discipline STEM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Riflessione sul contributo delle discipline STEM allo sviluppo culturale degli studenti (connessione con la A) in particolare facendo riferimento alla matematica e alla fisica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Riferimenti teorici per rileggere la propria didattica e le metodologie adottate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>Riflessione sulla valutazione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>
              <w:rPr>
                <w:color w:val="222222"/>
                <w:sz w:val="28"/>
                <w:szCs w:val="28"/>
              </w:rPr>
              <w:t xml:space="preserve">Sperimentazioni di Carol </w:t>
            </w:r>
            <w:proofErr w:type="spellStart"/>
            <w:r>
              <w:rPr>
                <w:color w:val="222222"/>
                <w:sz w:val="28"/>
                <w:szCs w:val="28"/>
              </w:rPr>
              <w:t>Dweck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, teorie delle </w:t>
            </w:r>
            <w:proofErr w:type="spellStart"/>
            <w:r>
              <w:rPr>
                <w:color w:val="222222"/>
                <w:sz w:val="28"/>
                <w:szCs w:val="28"/>
              </w:rPr>
              <w:t>neuroscienze,pensiero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di Daniel </w:t>
            </w:r>
            <w:proofErr w:type="spellStart"/>
            <w:r>
              <w:rPr>
                <w:color w:val="222222"/>
                <w:sz w:val="28"/>
                <w:szCs w:val="28"/>
              </w:rPr>
              <w:t>kahneman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e apprendistato cognitivo</w:t>
            </w:r>
          </w:p>
          <w:p w:rsidR="00524394" w:rsidRDefault="00583E27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 </w:t>
            </w:r>
          </w:p>
          <w:p w:rsidR="00524394" w:rsidRDefault="00524394">
            <w:pPr>
              <w:rPr>
                <w:b/>
                <w:sz w:val="24"/>
                <w:szCs w:val="24"/>
              </w:rPr>
            </w:pPr>
          </w:p>
          <w:p w:rsidR="00524394" w:rsidRDefault="00524394">
            <w:pPr>
              <w:rPr>
                <w:b/>
                <w:sz w:val="24"/>
                <w:szCs w:val="24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L’Agenda 2030 per lo sviluppo sostenibile, sottoscritta nel 2015, è rivolta a garantire un presente e un fu</w:t>
            </w:r>
            <w:r>
              <w:rPr>
                <w:sz w:val="28"/>
                <w:szCs w:val="28"/>
              </w:rPr>
              <w:t xml:space="preserve">turo migliore per il Pianeta e per le persone che lo abitano. </w:t>
            </w:r>
            <w:r>
              <w:rPr>
                <w:sz w:val="28"/>
                <w:szCs w:val="28"/>
              </w:rPr>
              <w:lastRenderedPageBreak/>
              <w:t>L'Agenda globale definisce 17 Obiettivi di sviluppo sostenibile (</w:t>
            </w:r>
            <w:proofErr w:type="spellStart"/>
            <w:r>
              <w:rPr>
                <w:sz w:val="28"/>
                <w:szCs w:val="28"/>
              </w:rPr>
              <w:t>Sustainable</w:t>
            </w:r>
            <w:proofErr w:type="spellEnd"/>
            <w:r>
              <w:rPr>
                <w:sz w:val="28"/>
                <w:szCs w:val="28"/>
              </w:rPr>
              <w:t xml:space="preserve"> Development </w:t>
            </w:r>
            <w:proofErr w:type="spellStart"/>
            <w:r>
              <w:rPr>
                <w:sz w:val="28"/>
                <w:szCs w:val="28"/>
              </w:rPr>
              <w:t>Goals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SDGs</w:t>
            </w:r>
            <w:proofErr w:type="spellEnd"/>
            <w:r>
              <w:rPr>
                <w:sz w:val="28"/>
                <w:szCs w:val="28"/>
              </w:rPr>
              <w:t>) da raggiungere entro il 2030, articolati in 169 Target, da seguire per uno sviluppo sosteni</w:t>
            </w:r>
            <w:r>
              <w:rPr>
                <w:sz w:val="28"/>
                <w:szCs w:val="28"/>
              </w:rPr>
              <w:t xml:space="preserve">bile. Date queste premesse le lezioni saranno suddivise e argomentate in maniera tale da introdurre i vari </w:t>
            </w:r>
            <w:proofErr w:type="spellStart"/>
            <w:r>
              <w:rPr>
                <w:sz w:val="28"/>
                <w:szCs w:val="28"/>
              </w:rPr>
              <w:t>SDGs</w:t>
            </w:r>
            <w:proofErr w:type="spellEnd"/>
            <w:r>
              <w:rPr>
                <w:sz w:val="28"/>
                <w:szCs w:val="28"/>
              </w:rPr>
              <w:t xml:space="preserve"> e le interconnessioni esistenti tra di loro, gli obiettivi e le strategie incluse nell’Agenda 2030. Le lezioni seguenti</w:t>
            </w:r>
            <w:r>
              <w:t xml:space="preserve"> </w:t>
            </w:r>
            <w:r>
              <w:rPr>
                <w:sz w:val="28"/>
                <w:szCs w:val="28"/>
              </w:rPr>
              <w:t>punteranno a mostrare al</w:t>
            </w:r>
            <w:r>
              <w:rPr>
                <w:sz w:val="28"/>
                <w:szCs w:val="28"/>
              </w:rPr>
              <w:t>cuni casi d’uso (esempi piccole realtà calabresi o del sud Italia con cui l’esperto ha maturato la sua esperienza) al fine di guidare i docenti dei diversi ordini di scuola presenti al corso nell’individuazione di attività possibili per fasce di età e indi</w:t>
            </w:r>
            <w:r>
              <w:rPr>
                <w:sz w:val="28"/>
                <w:szCs w:val="28"/>
              </w:rPr>
              <w:t>rizzo scolastico relative a quanto presentato durante le lezioni.</w:t>
            </w:r>
          </w:p>
          <w:p w:rsidR="00524394" w:rsidRDefault="00524394">
            <w:pPr>
              <w:rPr>
                <w:b/>
                <w:sz w:val="24"/>
                <w:szCs w:val="24"/>
              </w:rPr>
            </w:pPr>
          </w:p>
          <w:p w:rsidR="00524394" w:rsidRDefault="00583E2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Confronto dialogico e laboratoriale con i corsisti a partire dalle tematiche emerse.</w:t>
            </w:r>
          </w:p>
        </w:tc>
        <w:tc>
          <w:tcPr>
            <w:tcW w:w="943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ore</w:t>
            </w: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3ore</w:t>
            </w:r>
          </w:p>
        </w:tc>
      </w:tr>
      <w:tr w:rsidR="00524394">
        <w:tc>
          <w:tcPr>
            <w:tcW w:w="2247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Interventi strategici per la realizzazione del sistema integrato 0-6</w:t>
            </w:r>
          </w:p>
        </w:tc>
        <w:tc>
          <w:tcPr>
            <w:tcW w:w="2851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Dominici Piero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Prof.ssa Renda Luna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Dott.ssa Alessia Pasquali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Prof.ssa Lorena </w:t>
            </w:r>
            <w:proofErr w:type="spellStart"/>
            <w:r>
              <w:rPr>
                <w:b/>
                <w:sz w:val="28"/>
                <w:szCs w:val="28"/>
              </w:rPr>
              <w:t>Gostinicchi</w:t>
            </w:r>
            <w:proofErr w:type="spellEnd"/>
          </w:p>
        </w:tc>
        <w:tc>
          <w:tcPr>
            <w:tcW w:w="3587" w:type="dxa"/>
          </w:tcPr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Le linee pedagogiche e gli orientamenti educativi del sistema integrato </w:t>
            </w:r>
            <w:proofErr w:type="spellStart"/>
            <w:r>
              <w:rPr>
                <w:i/>
                <w:sz w:val="28"/>
                <w:szCs w:val="28"/>
              </w:rPr>
              <w:t>zerosei</w:t>
            </w:r>
            <w:proofErr w:type="spellEnd"/>
            <w:r>
              <w:rPr>
                <w:sz w:val="28"/>
                <w:szCs w:val="28"/>
              </w:rPr>
              <w:t>, nel quadro della sfida sociale e culturale della complessità</w:t>
            </w:r>
          </w:p>
          <w:p w:rsidR="00524394" w:rsidRDefault="00524394">
            <w:pPr>
              <w:rPr>
                <w:sz w:val="28"/>
                <w:szCs w:val="28"/>
              </w:rPr>
            </w:pPr>
          </w:p>
          <w:p w:rsidR="00524394" w:rsidRDefault="00524394">
            <w:pPr>
              <w:rPr>
                <w:sz w:val="28"/>
                <w:szCs w:val="28"/>
              </w:rPr>
            </w:pPr>
          </w:p>
          <w:p w:rsidR="00524394" w:rsidRDefault="00524394">
            <w:pPr>
              <w:rPr>
                <w:sz w:val="28"/>
                <w:szCs w:val="28"/>
              </w:rPr>
            </w:pP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 quadro normativo del sistema </w:t>
            </w:r>
            <w:proofErr w:type="spellStart"/>
            <w:r>
              <w:rPr>
                <w:i/>
                <w:sz w:val="28"/>
                <w:szCs w:val="28"/>
              </w:rPr>
              <w:t>zerosei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Continuità verticale nella costruzione di un percorso comune e condiv</w:t>
            </w:r>
            <w:r>
              <w:rPr>
                <w:sz w:val="28"/>
                <w:szCs w:val="28"/>
              </w:rPr>
              <w:t>iso. Una possibile rilettura “filosofica” e “circolare” del curricolo.</w:t>
            </w: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 albi illustrati.</w:t>
            </w:r>
          </w:p>
          <w:p w:rsidR="00524394" w:rsidRDefault="00524394">
            <w:pPr>
              <w:rPr>
                <w:sz w:val="28"/>
                <w:szCs w:val="28"/>
              </w:rPr>
            </w:pP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Continuità orizzontale: la relazione con le famiglie e il contesto.</w:t>
            </w: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Osservazione, progettazione, documentazione. Valutazione e autovalutazione</w:t>
            </w:r>
          </w:p>
          <w:p w:rsidR="00524394" w:rsidRDefault="00524394">
            <w:pPr>
              <w:rPr>
                <w:sz w:val="28"/>
                <w:szCs w:val="28"/>
              </w:rPr>
            </w:pP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Organizzazione di contesti educativi inclusivi (spazio, tempo, arredi, materiali, supporti, lavoro d’equipe).</w:t>
            </w:r>
          </w:p>
          <w:p w:rsidR="00524394" w:rsidRDefault="00583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Alcune possibili esperienze da condividere.</w:t>
            </w:r>
          </w:p>
        </w:tc>
        <w:tc>
          <w:tcPr>
            <w:tcW w:w="943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ore</w:t>
            </w:r>
          </w:p>
        </w:tc>
      </w:tr>
      <w:tr w:rsidR="00524394">
        <w:tc>
          <w:tcPr>
            <w:tcW w:w="2247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Superare il pensiero antropocentrico</w:t>
            </w: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“ Gli acrobati del tempo”</w:t>
            </w:r>
          </w:p>
        </w:tc>
        <w:tc>
          <w:tcPr>
            <w:tcW w:w="2851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Caffo Leonardo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Andrea Tagliapietra</w:t>
            </w: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 Massimo </w:t>
            </w:r>
            <w:proofErr w:type="spellStart"/>
            <w:r>
              <w:rPr>
                <w:b/>
                <w:sz w:val="28"/>
                <w:szCs w:val="28"/>
              </w:rPr>
              <w:t>Iiritano</w:t>
            </w:r>
            <w:proofErr w:type="spellEnd"/>
          </w:p>
        </w:tc>
        <w:tc>
          <w:tcPr>
            <w:tcW w:w="3587" w:type="dxa"/>
          </w:tcPr>
          <w:p w:rsidR="00524394" w:rsidRDefault="0058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Prima lezione</w:t>
            </w:r>
            <w:r>
              <w:rPr>
                <w:sz w:val="28"/>
                <w:szCs w:val="28"/>
              </w:rPr>
              <w:t>:</w:t>
            </w:r>
          </w:p>
          <w:p w:rsidR="00524394" w:rsidRDefault="0058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introduzione alla filosofia contemporanea e sue applicazioni in ecologia;</w:t>
            </w:r>
          </w:p>
          <w:p w:rsidR="00524394" w:rsidRDefault="0058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Seconda lezione</w:t>
            </w:r>
            <w:r>
              <w:rPr>
                <w:sz w:val="28"/>
                <w:szCs w:val="28"/>
              </w:rPr>
              <w:t>: critica all’antropocentrismo;</w:t>
            </w:r>
          </w:p>
          <w:p w:rsidR="00524394" w:rsidRDefault="0058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Terza lezione</w:t>
            </w:r>
            <w:r>
              <w:rPr>
                <w:sz w:val="28"/>
                <w:szCs w:val="28"/>
              </w:rPr>
              <w:t>: filosofia pratica e diverse soluzioni che seguono alla filosofia teorica presentata nel secondo incontro;</w:t>
            </w:r>
          </w:p>
          <w:p w:rsidR="00524394" w:rsidRDefault="00583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Quarta lezione</w:t>
            </w:r>
            <w:r>
              <w:rPr>
                <w:sz w:val="28"/>
                <w:szCs w:val="28"/>
              </w:rPr>
              <w:t>: sviluppi della filosofia contemporanea con sue applicazioni nelle arti creative e visiv</w:t>
            </w:r>
            <w:r>
              <w:rPr>
                <w:sz w:val="28"/>
                <w:szCs w:val="28"/>
              </w:rPr>
              <w:t xml:space="preserve">e con focus specifico rispetto </w:t>
            </w:r>
            <w:r>
              <w:rPr>
                <w:sz w:val="28"/>
                <w:szCs w:val="28"/>
              </w:rPr>
              <w:lastRenderedPageBreak/>
              <w:t>all’attualità.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Dal punto di vista storico, il terremoto di Lisbona del 1755 è il punto di partenza dello scacco, nel cuore del secolo in cui nasce l'antropocentrismo (il secolo che sostituisce lo spettatore divino onniscient</w:t>
            </w:r>
            <w:r>
              <w:rPr>
                <w:color w:val="000000"/>
                <w:sz w:val="28"/>
                <w:szCs w:val="28"/>
                <w:highlight w:val="white"/>
              </w:rPr>
              <w:t>e con l'umanità spettatrice)  e che "inventa" l'uomo (vedi Foucault), della centralità dell'uomo stesso. È da Lisbona che prende avvio il piano inclinato che porta al "catastrofismo illuminato"(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Dupuy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>) dell'età contemporanea. Ma la domanda centrale dovrebbe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essere chi oggi sta "al centro" del processo del mondo? Siamo proprio sicuri che l'uomo non sia una maschera (</w:t>
            </w:r>
            <w:proofErr w:type="spellStart"/>
            <w:r>
              <w:rPr>
                <w:i/>
                <w:color w:val="000000"/>
                <w:sz w:val="28"/>
                <w:szCs w:val="28"/>
                <w:highlight w:val="white"/>
              </w:rPr>
              <w:t>dramatis</w:t>
            </w:r>
            <w:proofErr w:type="spellEnd"/>
            <w:r>
              <w:rPr>
                <w:i/>
                <w:color w:val="000000"/>
                <w:sz w:val="28"/>
                <w:szCs w:val="28"/>
                <w:highlight w:val="white"/>
              </w:rPr>
              <w:t xml:space="preserve"> persona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) dietro cui si cela qualcos'altro, che ha preso il posto di Dio già nel passaggio di consegne della modernità e che, come scrive </w:t>
            </w:r>
            <w:proofErr w:type="spellStart"/>
            <w:r>
              <w:rPr>
                <w:color w:val="000000"/>
                <w:sz w:val="28"/>
                <w:szCs w:val="28"/>
                <w:highlight w:val="white"/>
              </w:rPr>
              <w:t>Marx</w:t>
            </w:r>
            <w:proofErr w:type="spellEnd"/>
            <w:r>
              <w:rPr>
                <w:color w:val="000000"/>
                <w:sz w:val="28"/>
                <w:szCs w:val="28"/>
                <w:highlight w:val="white"/>
              </w:rPr>
              <w:t xml:space="preserve"> , è il dio visibile, </w:t>
            </w:r>
            <w:r>
              <w:rPr>
                <w:color w:val="202122"/>
                <w:sz w:val="28"/>
                <w:szCs w:val="28"/>
              </w:rPr>
              <w:t>che «trasforma i miei desideri dalla loro esistenza pensata alla loro esistenza </w:t>
            </w:r>
            <w:r>
              <w:rPr>
                <w:i/>
                <w:color w:val="202122"/>
                <w:sz w:val="28"/>
                <w:szCs w:val="28"/>
              </w:rPr>
              <w:t>sensibile</w:t>
            </w:r>
            <w:r>
              <w:rPr>
                <w:color w:val="202122"/>
                <w:sz w:val="28"/>
                <w:szCs w:val="28"/>
              </w:rPr>
              <w:t> e </w:t>
            </w:r>
            <w:r>
              <w:rPr>
                <w:i/>
                <w:color w:val="202122"/>
                <w:sz w:val="28"/>
                <w:szCs w:val="28"/>
              </w:rPr>
              <w:t>reale</w:t>
            </w:r>
            <w:r>
              <w:rPr>
                <w:color w:val="202122"/>
                <w:sz w:val="28"/>
                <w:szCs w:val="28"/>
              </w:rPr>
              <w:t>» e</w:t>
            </w:r>
            <w:r>
              <w:rPr>
                <w:color w:val="202122"/>
                <w:sz w:val="28"/>
                <w:szCs w:val="28"/>
              </w:rPr>
              <w:t xml:space="preserve"> insieme </w:t>
            </w:r>
            <w:r>
              <w:rPr>
                <w:color w:val="000000"/>
                <w:sz w:val="28"/>
                <w:szCs w:val="28"/>
              </w:rPr>
              <w:t>«è la comunità e non può tollerare nient’altro sopra di sé», ovvero il denaro e la sua forma sovrana, monsieur Le Capital.</w:t>
            </w:r>
          </w:p>
          <w:p w:rsidR="00524394" w:rsidRDefault="0052439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24394" w:rsidRDefault="00583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Confronto dialogico e </w:t>
            </w:r>
            <w:r>
              <w:rPr>
                <w:color w:val="000000"/>
                <w:sz w:val="28"/>
                <w:szCs w:val="28"/>
              </w:rPr>
              <w:lastRenderedPageBreak/>
              <w:t>laboratoriale con i corsisti a partire dalle tematiche emerse.</w:t>
            </w:r>
          </w:p>
        </w:tc>
        <w:tc>
          <w:tcPr>
            <w:tcW w:w="943" w:type="dxa"/>
          </w:tcPr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 ore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83E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ore </w:t>
            </w: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jc w:val="center"/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24394">
            <w:pPr>
              <w:rPr>
                <w:b/>
                <w:sz w:val="28"/>
                <w:szCs w:val="28"/>
              </w:rPr>
            </w:pPr>
          </w:p>
          <w:p w:rsidR="00524394" w:rsidRDefault="00583E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 ore</w:t>
            </w:r>
          </w:p>
        </w:tc>
      </w:tr>
    </w:tbl>
    <w:p w:rsidR="00524394" w:rsidRDefault="00524394">
      <w:pPr>
        <w:rPr>
          <w:sz w:val="28"/>
          <w:szCs w:val="28"/>
        </w:rPr>
      </w:pPr>
    </w:p>
    <w:sectPr w:rsidR="0052439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858"/>
    <w:multiLevelType w:val="multilevel"/>
    <w:tmpl w:val="DE1EE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976A9"/>
    <w:multiLevelType w:val="multilevel"/>
    <w:tmpl w:val="E3E6A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656C0"/>
    <w:multiLevelType w:val="multilevel"/>
    <w:tmpl w:val="B1CC8E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24394"/>
    <w:rsid w:val="00524394"/>
    <w:rsid w:val="005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a.pappaianni</dc:creator>
  <cp:lastModifiedBy>a.pappaianni</cp:lastModifiedBy>
  <cp:revision>2</cp:revision>
  <dcterms:created xsi:type="dcterms:W3CDTF">2022-04-11T08:09:00Z</dcterms:created>
  <dcterms:modified xsi:type="dcterms:W3CDTF">2022-04-11T08:09:00Z</dcterms:modified>
</cp:coreProperties>
</file>